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4"/>
          <w:szCs w:val="24"/>
          <w:lang w:val="es-ES"/>
        </w:rPr>
      </w:pPr>
      <w:r>
        <w:rPr>
          <w:rFonts w:ascii="OptaneBold" w:hAnsi="OptaneBold" w:cs="OptaneBold"/>
          <w:b/>
          <w:bCs/>
          <w:sz w:val="24"/>
          <w:szCs w:val="24"/>
          <w:lang w:val="es-ES"/>
        </w:rPr>
        <w:t xml:space="preserve">Actividad </w:t>
      </w:r>
      <w:proofErr w:type="spellStart"/>
      <w:r>
        <w:rPr>
          <w:rFonts w:ascii="OptaneBold" w:hAnsi="OptaneBold" w:cs="OptaneBold"/>
          <w:b/>
          <w:bCs/>
          <w:sz w:val="24"/>
          <w:szCs w:val="24"/>
          <w:lang w:val="es-ES"/>
        </w:rPr>
        <w:t>antimalárica</w:t>
      </w:r>
      <w:proofErr w:type="spellEnd"/>
      <w:r>
        <w:rPr>
          <w:rFonts w:ascii="OptaneBold" w:hAnsi="OptaneBold" w:cs="OptaneBold"/>
          <w:b/>
          <w:bCs/>
          <w:sz w:val="24"/>
          <w:szCs w:val="24"/>
          <w:lang w:val="es-ES"/>
        </w:rPr>
        <w:t xml:space="preserve"> </w:t>
      </w:r>
      <w:r>
        <w:rPr>
          <w:rFonts w:ascii="OptaneBoldItalic" w:hAnsi="OptaneBoldItalic" w:cs="OptaneBoldItalic"/>
          <w:b/>
          <w:bCs/>
          <w:i/>
          <w:iCs/>
          <w:sz w:val="24"/>
          <w:szCs w:val="24"/>
          <w:lang w:val="es-ES"/>
        </w:rPr>
        <w:t xml:space="preserve">in vitro </w:t>
      </w:r>
      <w:r>
        <w:rPr>
          <w:rFonts w:ascii="OptaneBold" w:hAnsi="OptaneBold" w:cs="OptaneBold"/>
          <w:b/>
          <w:bCs/>
          <w:sz w:val="24"/>
          <w:szCs w:val="24"/>
          <w:lang w:val="es-ES"/>
        </w:rPr>
        <w:t>de cuatro especies vegetales del</w:t>
      </w:r>
      <w:r>
        <w:rPr>
          <w:rFonts w:ascii="OptaneBold" w:hAnsi="OptaneBold" w:cs="OptaneBold"/>
          <w:b/>
          <w:bCs/>
          <w:sz w:val="24"/>
          <w:szCs w:val="24"/>
          <w:lang w:val="es-ES"/>
        </w:rPr>
        <w:t xml:space="preserve"> </w:t>
      </w:r>
      <w:r>
        <w:rPr>
          <w:rFonts w:ascii="OptaneBold" w:hAnsi="OptaneBold" w:cs="OptaneBold"/>
          <w:b/>
          <w:bCs/>
          <w:sz w:val="24"/>
          <w:szCs w:val="24"/>
          <w:lang w:val="es-ES"/>
        </w:rPr>
        <w:t xml:space="preserve">género </w:t>
      </w:r>
      <w:proofErr w:type="spellStart"/>
      <w:r>
        <w:rPr>
          <w:rFonts w:ascii="OptaneBoldItalic" w:hAnsi="OptaneBoldItalic" w:cs="OptaneBoldItalic"/>
          <w:b/>
          <w:bCs/>
          <w:i/>
          <w:iCs/>
          <w:sz w:val="24"/>
          <w:szCs w:val="24"/>
          <w:lang w:val="es-ES"/>
        </w:rPr>
        <w:t>Rauwolfia</w:t>
      </w:r>
      <w:proofErr w:type="spellEnd"/>
      <w:r>
        <w:rPr>
          <w:rFonts w:ascii="OptaneBoldItalic" w:hAnsi="OptaneBoldItalic" w:cs="OptaneBoldItalic"/>
          <w:b/>
          <w:bCs/>
          <w:i/>
          <w:iCs/>
          <w:sz w:val="24"/>
          <w:szCs w:val="24"/>
          <w:lang w:val="es-ES"/>
        </w:rPr>
        <w:t xml:space="preserve"> </w:t>
      </w:r>
      <w:r>
        <w:rPr>
          <w:rFonts w:ascii="OptaneBold" w:hAnsi="OptaneBold" w:cs="OptaneBold"/>
          <w:b/>
          <w:bCs/>
          <w:sz w:val="24"/>
          <w:szCs w:val="24"/>
          <w:lang w:val="es-ES"/>
        </w:rPr>
        <w:t>(</w:t>
      </w:r>
      <w:proofErr w:type="spellStart"/>
      <w:r>
        <w:rPr>
          <w:rFonts w:ascii="OptaneBold" w:hAnsi="OptaneBold" w:cs="OptaneBold"/>
          <w:b/>
          <w:bCs/>
          <w:sz w:val="24"/>
          <w:szCs w:val="24"/>
          <w:lang w:val="es-ES"/>
        </w:rPr>
        <w:t>Apocynaceae</w:t>
      </w:r>
      <w:proofErr w:type="spellEnd"/>
      <w:r>
        <w:rPr>
          <w:rFonts w:ascii="OptaneBold" w:hAnsi="OptaneBold" w:cs="OptaneBold"/>
          <w:b/>
          <w:bCs/>
          <w:sz w:val="24"/>
          <w:szCs w:val="24"/>
          <w:lang w:val="es-ES"/>
        </w:rPr>
        <w:t>)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4"/>
          <w:szCs w:val="24"/>
          <w:lang w:val="es-ES"/>
        </w:rPr>
      </w:pP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1"/>
          <w:szCs w:val="21"/>
          <w:lang w:val="es-ES"/>
        </w:rPr>
      </w:pPr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In vitro 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antimalarial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activity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of 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four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plant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species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of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1"/>
          <w:szCs w:val="21"/>
          <w:lang w:val="es-ES"/>
        </w:rPr>
      </w:pP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genus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 xml:space="preserve"> </w:t>
      </w:r>
      <w:proofErr w:type="spellStart"/>
      <w:r>
        <w:rPr>
          <w:rFonts w:ascii="OptaneBoldItalic" w:hAnsi="OptaneBoldItalic" w:cs="OptaneBoldItalic"/>
          <w:b/>
          <w:bCs/>
          <w:i/>
          <w:iCs/>
          <w:sz w:val="21"/>
          <w:szCs w:val="21"/>
          <w:lang w:val="es-ES"/>
        </w:rPr>
        <w:t>Rauwolfia</w:t>
      </w:r>
      <w:proofErr w:type="spellEnd"/>
      <w:r>
        <w:rPr>
          <w:rFonts w:ascii="OptaneBoldItalic" w:hAnsi="OptaneBoldItalic" w:cs="OptaneBoldItalic"/>
          <w:b/>
          <w:bCs/>
          <w:i/>
          <w:iCs/>
          <w:sz w:val="21"/>
          <w:szCs w:val="21"/>
          <w:lang w:val="es-ES"/>
        </w:rPr>
        <w:t xml:space="preserve"> </w:t>
      </w:r>
      <w:r>
        <w:rPr>
          <w:rFonts w:ascii="OptaneBold" w:hAnsi="OptaneBold" w:cs="OptaneBold"/>
          <w:b/>
          <w:bCs/>
          <w:sz w:val="21"/>
          <w:szCs w:val="21"/>
          <w:lang w:val="es-ES"/>
        </w:rPr>
        <w:t>(</w:t>
      </w:r>
      <w:proofErr w:type="spellStart"/>
      <w:r>
        <w:rPr>
          <w:rFonts w:ascii="OptaneBold" w:hAnsi="OptaneBold" w:cs="OptaneBold"/>
          <w:b/>
          <w:bCs/>
          <w:sz w:val="21"/>
          <w:szCs w:val="21"/>
          <w:lang w:val="es-ES"/>
        </w:rPr>
        <w:t>Apocynaceae</w:t>
      </w:r>
      <w:proofErr w:type="spellEnd"/>
      <w:r>
        <w:rPr>
          <w:rFonts w:ascii="OptaneBold" w:hAnsi="OptaneBold" w:cs="OptaneBold"/>
          <w:b/>
          <w:bCs/>
          <w:sz w:val="21"/>
          <w:szCs w:val="21"/>
          <w:lang w:val="es-ES"/>
        </w:rPr>
        <w:t>)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" w:hAnsi="Optane" w:cs="Optane"/>
          <w:sz w:val="20"/>
          <w:szCs w:val="20"/>
          <w:lang w:val="es-ES"/>
        </w:rPr>
      </w:pPr>
      <w:r>
        <w:rPr>
          <w:rFonts w:ascii="Optane" w:hAnsi="Optane" w:cs="Optane"/>
          <w:sz w:val="10"/>
          <w:szCs w:val="10"/>
          <w:lang w:val="es-ES"/>
        </w:rPr>
        <w:t xml:space="preserve">1 2 2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Lastenia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Ruiz </w:t>
      </w:r>
      <w:proofErr w:type="spellStart"/>
      <w:proofErr w:type="gramStart"/>
      <w:r>
        <w:rPr>
          <w:rFonts w:ascii="Optane" w:hAnsi="Optane" w:cs="Optane"/>
          <w:sz w:val="20"/>
          <w:szCs w:val="20"/>
          <w:lang w:val="es-ES"/>
        </w:rPr>
        <w:t>Mesía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,</w:t>
      </w:r>
      <w:proofErr w:type="gramEnd"/>
      <w:r>
        <w:rPr>
          <w:rFonts w:ascii="Optane" w:hAnsi="Optane" w:cs="Optane"/>
          <w:sz w:val="20"/>
          <w:szCs w:val="20"/>
          <w:lang w:val="es-ES"/>
        </w:rPr>
        <w:t xml:space="preserve">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Jeshus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Jean Pierre López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Mesía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, Samuel Arévalo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Ocumbe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, Fernando Abner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" w:hAnsi="Optane" w:cs="Optane"/>
          <w:sz w:val="20"/>
          <w:szCs w:val="20"/>
          <w:lang w:val="es-ES"/>
        </w:rPr>
      </w:pPr>
      <w:r>
        <w:rPr>
          <w:rFonts w:ascii="Optane" w:hAnsi="Optane" w:cs="Optane"/>
          <w:sz w:val="10"/>
          <w:szCs w:val="10"/>
          <w:lang w:val="es-ES"/>
        </w:rPr>
        <w:t xml:space="preserve">2 2 2 2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Nájar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</w:t>
      </w:r>
      <w:proofErr w:type="gramStart"/>
      <w:r>
        <w:rPr>
          <w:rFonts w:ascii="Optane" w:hAnsi="Optane" w:cs="Optane"/>
          <w:sz w:val="20"/>
          <w:szCs w:val="20"/>
          <w:lang w:val="es-ES"/>
        </w:rPr>
        <w:t>Arana ,</w:t>
      </w:r>
      <w:proofErr w:type="gramEnd"/>
      <w:r>
        <w:rPr>
          <w:rFonts w:ascii="Optane" w:hAnsi="Optane" w:cs="Optane"/>
          <w:sz w:val="20"/>
          <w:szCs w:val="20"/>
          <w:lang w:val="es-ES"/>
        </w:rPr>
        <w:t xml:space="preserve"> Leonor Arévalo Encinas , Wilfredo Ruiz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Mesía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y Liliana Ruiz Vásquez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" w:hAnsi="Optane" w:cs="Optane"/>
          <w:sz w:val="16"/>
          <w:szCs w:val="16"/>
          <w:lang w:val="es-ES"/>
        </w:rPr>
      </w:pPr>
      <w:r>
        <w:rPr>
          <w:rFonts w:ascii="Optane" w:hAnsi="Optane" w:cs="Optane"/>
          <w:sz w:val="16"/>
          <w:szCs w:val="16"/>
          <w:lang w:val="es-ES"/>
        </w:rPr>
        <w:t>Recibido: noviembre 2014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" w:hAnsi="Optane" w:cs="Optane"/>
          <w:sz w:val="16"/>
          <w:szCs w:val="16"/>
          <w:lang w:val="es-ES"/>
        </w:rPr>
      </w:pPr>
      <w:r>
        <w:rPr>
          <w:rFonts w:ascii="Optane" w:hAnsi="Optane" w:cs="Optane"/>
          <w:sz w:val="16"/>
          <w:szCs w:val="16"/>
          <w:lang w:val="es-ES"/>
        </w:rPr>
        <w:t>Aceptado: diciembre 2014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" w:hAnsi="Optane" w:cs="Optane"/>
          <w:sz w:val="16"/>
          <w:szCs w:val="16"/>
          <w:lang w:val="es-ES"/>
        </w:rPr>
      </w:pP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0"/>
          <w:szCs w:val="20"/>
          <w:lang w:val="es-ES"/>
        </w:rPr>
      </w:pPr>
      <w:r>
        <w:rPr>
          <w:rFonts w:ascii="OptaneBold" w:hAnsi="OptaneBold" w:cs="OptaneBold"/>
          <w:b/>
          <w:bCs/>
          <w:sz w:val="20"/>
          <w:szCs w:val="20"/>
          <w:lang w:val="es-ES"/>
        </w:rPr>
        <w:t>RESUMEN</w:t>
      </w:r>
    </w:p>
    <w:p w:rsidR="00315B4C" w:rsidRDefault="00315B4C" w:rsidP="00315B4C">
      <w:pPr>
        <w:autoSpaceDE w:val="0"/>
        <w:autoSpaceDN w:val="0"/>
        <w:adjustRightInd w:val="0"/>
        <w:spacing w:after="0" w:line="240" w:lineRule="auto"/>
        <w:rPr>
          <w:rFonts w:ascii="OptaneBold" w:hAnsi="OptaneBold" w:cs="OptaneBold"/>
          <w:b/>
          <w:bCs/>
          <w:sz w:val="20"/>
          <w:szCs w:val="20"/>
          <w:lang w:val="es-ES"/>
        </w:rPr>
      </w:pPr>
    </w:p>
    <w:p w:rsidR="00461EE0" w:rsidRDefault="00315B4C" w:rsidP="00315B4C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r>
        <w:rPr>
          <w:rFonts w:ascii="Optane" w:hAnsi="Optane" w:cs="Optane"/>
          <w:sz w:val="20"/>
          <w:szCs w:val="20"/>
          <w:lang w:val="es-ES"/>
        </w:rPr>
        <w:t xml:space="preserve">La malaria es una enfermedad infecciosa producida por parásitos de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Plasmodium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spp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., siendo la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>responsable de más de un millón de muertes por año, lo que constituye un importante problema de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salud en todo el mundo, con alta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endemicidad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en países en vías de desarrollo. Las plantas constituyen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una valiosa fuente de nuevos agentes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antimaláricos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, a partir de ella se han descubierto compuestos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como quinina y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artemisinina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, que hoy en día se utilizan para el tratamiento de cepas de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Plasmodium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falciparum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resistentes a múltiples medicamentos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antimaláricos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. En este trabajo se evaluó la actividad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antimalárica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in vitro </w:t>
      </w:r>
      <w:r>
        <w:rPr>
          <w:rFonts w:ascii="Optane" w:hAnsi="Optane" w:cs="Optane"/>
          <w:sz w:val="20"/>
          <w:szCs w:val="20"/>
          <w:lang w:val="es-ES"/>
        </w:rPr>
        <w:t xml:space="preserve">frente a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P.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falciparum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>cepa FCR-3 (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cloroquina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resistente), de los extractos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etanólicos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y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alcaloidales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de las especies vegetales de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Rauwolfia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macrantha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,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paraensis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,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sprucei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>y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andina. </w:t>
      </w:r>
      <w:r>
        <w:rPr>
          <w:rFonts w:ascii="Optane" w:hAnsi="Optane" w:cs="Optane"/>
          <w:sz w:val="20"/>
          <w:szCs w:val="20"/>
          <w:lang w:val="es-ES"/>
        </w:rPr>
        <w:t xml:space="preserve">De los extractos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alcaloidales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evaluados, la raíz de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macrantha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y tallos de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sprucei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mostraron muy buena actividad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antimalárica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(IC = 2,80-3,96 </w:t>
      </w:r>
      <w:proofErr w:type="spellStart"/>
      <w:r>
        <w:rPr>
          <w:rFonts w:ascii="Cambria" w:hAnsi="Cambria" w:cs="Cambria"/>
          <w:sz w:val="20"/>
          <w:szCs w:val="20"/>
          <w:lang w:val="es-ES"/>
        </w:rPr>
        <w:t>μ</w:t>
      </w:r>
      <w:r>
        <w:rPr>
          <w:rFonts w:ascii="Optane" w:hAnsi="Optane" w:cs="Optane"/>
          <w:sz w:val="20"/>
          <w:szCs w:val="20"/>
          <w:lang w:val="es-ES"/>
        </w:rPr>
        <w:t>g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/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mL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), comparable a la actividad de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Remijia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peruviana </w:t>
      </w:r>
      <w:r>
        <w:rPr>
          <w:rFonts w:ascii="Optane" w:hAnsi="Optane" w:cs="Optane"/>
          <w:sz w:val="20"/>
          <w:szCs w:val="20"/>
          <w:lang w:val="es-ES"/>
        </w:rPr>
        <w:t xml:space="preserve">y algunas especies de la familia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Simaroubaceae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; mientras que los extractos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alcaloidales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de los tallos y hojas de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R.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macrantha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, además del extracto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etanólico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de la raíz de 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>R.</w:t>
      </w:r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proofErr w:type="spellStart"/>
      <w:r>
        <w:rPr>
          <w:rFonts w:ascii="OptaneItalic" w:hAnsi="OptaneItalic" w:cs="OptaneItalic"/>
          <w:i/>
          <w:iCs/>
          <w:sz w:val="20"/>
          <w:szCs w:val="20"/>
          <w:lang w:val="es-ES"/>
        </w:rPr>
        <w:t>paraensis</w:t>
      </w:r>
      <w:proofErr w:type="spellEnd"/>
      <w:r>
        <w:rPr>
          <w:rFonts w:ascii="OptaneItalic" w:hAnsi="OptaneItalic" w:cs="OptaneItalic"/>
          <w:i/>
          <w:iCs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mostraron buena actividad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antiplasmodial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con IC = 6,00 </w:t>
      </w:r>
      <w:proofErr w:type="spellStart"/>
      <w:r>
        <w:rPr>
          <w:rFonts w:ascii="Cambria" w:hAnsi="Cambria" w:cs="Cambria"/>
          <w:sz w:val="20"/>
          <w:szCs w:val="20"/>
          <w:lang w:val="es-ES"/>
        </w:rPr>
        <w:t>μ</w:t>
      </w:r>
      <w:r>
        <w:rPr>
          <w:rFonts w:ascii="Optane" w:hAnsi="Optane" w:cs="Optane"/>
          <w:sz w:val="20"/>
          <w:szCs w:val="20"/>
          <w:lang w:val="es-ES"/>
        </w:rPr>
        <w:t>g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/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mL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, 7,09 </w:t>
      </w:r>
      <w:proofErr w:type="spellStart"/>
      <w:r>
        <w:rPr>
          <w:rFonts w:ascii="Cambria" w:hAnsi="Cambria" w:cs="Cambria"/>
          <w:sz w:val="20"/>
          <w:szCs w:val="20"/>
          <w:lang w:val="es-ES"/>
        </w:rPr>
        <w:t>μ</w:t>
      </w:r>
      <w:r>
        <w:rPr>
          <w:rFonts w:ascii="Optane" w:hAnsi="Optane" w:cs="Optane"/>
          <w:sz w:val="20"/>
          <w:szCs w:val="20"/>
          <w:lang w:val="es-ES"/>
        </w:rPr>
        <w:t>g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/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mL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y 8,37 </w:t>
      </w:r>
      <w:proofErr w:type="spellStart"/>
      <w:r>
        <w:rPr>
          <w:rFonts w:ascii="Cambria" w:hAnsi="Cambria" w:cs="Cambria"/>
          <w:sz w:val="20"/>
          <w:szCs w:val="20"/>
          <w:lang w:val="es-ES"/>
        </w:rPr>
        <w:t>μ</w:t>
      </w:r>
      <w:r>
        <w:rPr>
          <w:rFonts w:ascii="Optane" w:hAnsi="Optane" w:cs="Optane"/>
          <w:sz w:val="20"/>
          <w:szCs w:val="20"/>
          <w:lang w:val="es-ES"/>
        </w:rPr>
        <w:t>g</w:t>
      </w:r>
      <w:proofErr w:type="spellEnd"/>
      <w:r>
        <w:rPr>
          <w:rFonts w:ascii="Optane" w:hAnsi="Optane" w:cs="Optane"/>
          <w:sz w:val="20"/>
          <w:szCs w:val="20"/>
          <w:lang w:val="es-ES"/>
        </w:rPr>
        <w:t>/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mL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, </w:t>
      </w:r>
      <w:r>
        <w:rPr>
          <w:rFonts w:ascii="Optane" w:hAnsi="Optane" w:cs="Optane"/>
          <w:sz w:val="20"/>
          <w:szCs w:val="20"/>
          <w:lang w:val="es-ES"/>
        </w:rPr>
        <w:t>respectivamente, siendo estas especies vegetales una alternativa para el descubrimiento de nuevas</w:t>
      </w:r>
      <w:r>
        <w:rPr>
          <w:rFonts w:ascii="Optane" w:hAnsi="Optane" w:cs="Optane"/>
          <w:sz w:val="20"/>
          <w:szCs w:val="20"/>
          <w:lang w:val="es-ES"/>
        </w:rPr>
        <w:t xml:space="preserve"> </w:t>
      </w:r>
      <w:r>
        <w:rPr>
          <w:rFonts w:ascii="Optane" w:hAnsi="Optane" w:cs="Optane"/>
          <w:sz w:val="20"/>
          <w:szCs w:val="20"/>
          <w:lang w:val="es-ES"/>
        </w:rPr>
        <w:t xml:space="preserve">drogas </w:t>
      </w:r>
      <w:proofErr w:type="spellStart"/>
      <w:r>
        <w:rPr>
          <w:rFonts w:ascii="Optane" w:hAnsi="Optane" w:cs="Optane"/>
          <w:sz w:val="20"/>
          <w:szCs w:val="20"/>
          <w:lang w:val="es-ES"/>
        </w:rPr>
        <w:t>antimaláricas</w:t>
      </w:r>
      <w:proofErr w:type="spellEnd"/>
      <w:r>
        <w:rPr>
          <w:rFonts w:ascii="Optane" w:hAnsi="Optane" w:cs="Optane"/>
          <w:sz w:val="20"/>
          <w:szCs w:val="20"/>
          <w:lang w:val="es-ES"/>
        </w:rPr>
        <w:t xml:space="preserve"> de origen natural.</w:t>
      </w:r>
      <w:bookmarkEnd w:id="0"/>
    </w:p>
    <w:sectPr w:rsidR="0046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ane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ane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a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tane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4C"/>
    <w:rsid w:val="00315B4C"/>
    <w:rsid w:val="004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F85D7"/>
  <w15:chartTrackingRefBased/>
  <w15:docId w15:val="{4B676F20-E8E4-49B1-B558-EE2F7EE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EDYSOFT</dc:creator>
  <cp:keywords/>
  <dc:description/>
  <cp:lastModifiedBy>EDYSOFT</cp:lastModifiedBy>
  <cp:revision>1</cp:revision>
  <dcterms:created xsi:type="dcterms:W3CDTF">2016-11-10T19:08:00Z</dcterms:created>
  <dcterms:modified xsi:type="dcterms:W3CDTF">2016-11-10T19:10:00Z</dcterms:modified>
</cp:coreProperties>
</file>